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2F5573">
        <w:rPr>
          <w:rFonts w:ascii="Arial" w:eastAsia="Arial" w:hAnsi="Arial" w:cs="Arial"/>
          <w:b/>
          <w:sz w:val="20"/>
          <w:szCs w:val="20"/>
        </w:rPr>
        <w:t>010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2F5573">
        <w:rPr>
          <w:rFonts w:ascii="Arial" w:eastAsia="Arial" w:hAnsi="Arial" w:cs="Arial"/>
          <w:b/>
          <w:sz w:val="20"/>
          <w:szCs w:val="20"/>
        </w:rPr>
        <w:t>25</w:t>
      </w:r>
      <w:r w:rsidR="00FA41C4">
        <w:rPr>
          <w:rFonts w:ascii="Arial" w:eastAsia="Arial" w:hAnsi="Arial" w:cs="Arial"/>
          <w:b/>
          <w:sz w:val="20"/>
          <w:szCs w:val="20"/>
        </w:rPr>
        <w:t xml:space="preserve"> DE ENERO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FA41C4" w:rsidRPr="00734E2D" w:rsidTr="00FA41C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Pr="00734E2D" w:rsidRDefault="00FA41C4"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FA41C4"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1C4" w:rsidRDefault="00FA41C4" w:rsidP="00604B5D">
                  <w:pPr>
                    <w:spacing w:after="0" w:line="240" w:lineRule="auto"/>
                    <w:jc w:val="center"/>
                    <w:rPr>
                      <w:rFonts w:ascii="Calibri" w:eastAsia="Times New Roman" w:hAnsi="Calibri" w:cs="Calibri"/>
                      <w:color w:val="000000"/>
                      <w:sz w:val="24"/>
                    </w:rPr>
                  </w:pPr>
                </w:p>
                <w:p w:rsidR="00FA41C4" w:rsidRDefault="00FA41C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A41C4" w:rsidRPr="006A46EE" w:rsidRDefault="00FA41C4" w:rsidP="00604B5D">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A41C4" w:rsidRPr="00E72C28" w:rsidRDefault="002F5573"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CENTRO DE LAVADO</w:t>
                  </w:r>
                </w:p>
              </w:tc>
              <w:tc>
                <w:tcPr>
                  <w:tcW w:w="1134"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Pr="00E72C28" w:rsidRDefault="002F5573"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6</w:t>
                  </w:r>
                </w:p>
              </w:tc>
              <w:tc>
                <w:tcPr>
                  <w:tcW w:w="1137"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A41C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2F5573">
              <w:rPr>
                <w:rFonts w:ascii="Arial" w:eastAsia="Arial" w:hAnsi="Arial" w:cs="Arial"/>
                <w:b/>
                <w:sz w:val="20"/>
                <w:szCs w:val="20"/>
              </w:rPr>
              <w:t>25</w:t>
            </w:r>
            <w:r w:rsidR="00FA41C4">
              <w:rPr>
                <w:rFonts w:ascii="Arial" w:eastAsia="Arial" w:hAnsi="Arial" w:cs="Arial"/>
                <w:b/>
                <w:sz w:val="20"/>
                <w:szCs w:val="20"/>
              </w:rPr>
              <w:t xml:space="preserve"> de enero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2F5573">
              <w:rPr>
                <w:rFonts w:ascii="Arial" w:eastAsia="Arial" w:hAnsi="Arial" w:cs="Arial"/>
                <w:b/>
                <w:sz w:val="20"/>
                <w:szCs w:val="20"/>
              </w:rPr>
              <w:t>28</w:t>
            </w:r>
            <w:r w:rsidR="00FA41C4">
              <w:rPr>
                <w:rFonts w:ascii="Arial" w:eastAsia="Arial" w:hAnsi="Arial" w:cs="Arial"/>
                <w:b/>
                <w:sz w:val="20"/>
                <w:szCs w:val="20"/>
              </w:rPr>
              <w:t xml:space="preserve"> de enero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2F5573">
              <w:rPr>
                <w:rFonts w:ascii="Arial" w:eastAsia="Arial" w:hAnsi="Arial" w:cs="Arial"/>
                <w:b/>
                <w:sz w:val="20"/>
                <w:szCs w:val="20"/>
              </w:rPr>
              <w:t>04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F21B9E">
              <w:rPr>
                <w:rFonts w:ascii="Arial" w:eastAsia="Arial" w:hAnsi="Arial" w:cs="Arial"/>
                <w:b/>
                <w:sz w:val="20"/>
                <w:szCs w:val="20"/>
              </w:rPr>
              <w:t xml:space="preserve"> a las 12</w:t>
            </w:r>
            <w:r w:rsidR="002F5573">
              <w:rPr>
                <w:rFonts w:ascii="Arial" w:eastAsia="Arial" w:hAnsi="Arial" w:cs="Arial"/>
                <w:b/>
                <w:sz w:val="20"/>
                <w:szCs w:val="20"/>
              </w:rPr>
              <w:t>:3</w:t>
            </w:r>
            <w:r w:rsidRPr="00A95056">
              <w:rPr>
                <w:rFonts w:ascii="Arial" w:eastAsia="Arial" w:hAnsi="Arial" w:cs="Arial"/>
                <w:b/>
                <w:sz w:val="20"/>
                <w:szCs w:val="20"/>
              </w:rPr>
              <w:t>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2F5573">
              <w:rPr>
                <w:rFonts w:ascii="Arial" w:eastAsia="Arial" w:hAnsi="Arial" w:cs="Arial"/>
                <w:b/>
                <w:sz w:val="20"/>
                <w:szCs w:val="20"/>
              </w:rPr>
              <w:t>05</w:t>
            </w:r>
            <w:r w:rsidR="009E3706">
              <w:rPr>
                <w:rFonts w:ascii="Arial" w:eastAsia="Arial" w:hAnsi="Arial" w:cs="Arial"/>
                <w:b/>
                <w:sz w:val="20"/>
                <w:szCs w:val="20"/>
              </w:rPr>
              <w:t xml:space="preserve"> de </w:t>
            </w:r>
            <w:r w:rsidR="002F5573">
              <w:rPr>
                <w:rFonts w:ascii="Arial" w:eastAsia="Arial" w:hAnsi="Arial" w:cs="Arial"/>
                <w:b/>
                <w:sz w:val="20"/>
                <w:szCs w:val="20"/>
              </w:rPr>
              <w:t>febr</w:t>
            </w:r>
            <w:r w:rsidR="00465316">
              <w:rPr>
                <w:rFonts w:ascii="Arial" w:eastAsia="Arial" w:hAnsi="Arial" w:cs="Arial"/>
                <w:b/>
                <w:sz w:val="20"/>
                <w:szCs w:val="20"/>
              </w:rPr>
              <w:t>ero de 2021</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2F5573">
              <w:rPr>
                <w:rFonts w:ascii="Arial" w:eastAsia="Arial" w:hAnsi="Arial" w:cs="Arial"/>
                <w:sz w:val="20"/>
                <w:szCs w:val="20"/>
              </w:rPr>
              <w:t>día 28</w:t>
            </w:r>
            <w:r w:rsidR="00993872">
              <w:rPr>
                <w:rFonts w:ascii="Arial" w:eastAsia="Arial" w:hAnsi="Arial" w:cs="Arial"/>
                <w:sz w:val="20"/>
                <w:szCs w:val="20"/>
              </w:rPr>
              <w:t xml:space="preserve"> de enero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2F5573">
              <w:rPr>
                <w:rFonts w:ascii="Arial" w:eastAsia="Arial" w:hAnsi="Arial" w:cs="Arial"/>
                <w:sz w:val="20"/>
                <w:szCs w:val="20"/>
                <w:u w:val="single"/>
              </w:rPr>
              <w:t>10</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2F5573">
              <w:rPr>
                <w:rFonts w:ascii="Arial" w:eastAsia="Arial" w:hAnsi="Arial" w:cs="Arial"/>
                <w:sz w:val="20"/>
                <w:szCs w:val="20"/>
                <w:u w:val="single"/>
              </w:rPr>
              <w:t>epto de: Centro de Lavado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2F5573">
              <w:rPr>
                <w:rFonts w:ascii="Arial" w:hAnsi="Arial" w:cs="Arial"/>
                <w:b/>
                <w:sz w:val="20"/>
                <w:szCs w:val="20"/>
              </w:rPr>
              <w:t>12</w:t>
            </w:r>
            <w:r w:rsidRPr="00A95056">
              <w:rPr>
                <w:rFonts w:ascii="Arial" w:hAnsi="Arial" w:cs="Arial"/>
                <w:b/>
                <w:sz w:val="20"/>
                <w:szCs w:val="20"/>
              </w:rPr>
              <w:t>:</w:t>
            </w:r>
            <w:r w:rsidR="002F5573">
              <w:rPr>
                <w:rFonts w:ascii="Arial" w:hAnsi="Arial" w:cs="Arial"/>
                <w:b/>
                <w:sz w:val="20"/>
                <w:szCs w:val="20"/>
              </w:rPr>
              <w:t>00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2F5573">
              <w:rPr>
                <w:rFonts w:ascii="Arial" w:hAnsi="Arial" w:cs="Arial"/>
                <w:b/>
                <w:sz w:val="20"/>
                <w:szCs w:val="20"/>
              </w:rPr>
              <w:t>:3</w:t>
            </w:r>
            <w:r w:rsidR="00703CC7" w:rsidRPr="00A95056">
              <w:rPr>
                <w:rFonts w:ascii="Arial" w:hAnsi="Arial" w:cs="Arial"/>
                <w:b/>
                <w:sz w:val="20"/>
                <w:szCs w:val="20"/>
              </w:rPr>
              <w:t>0 ho</w:t>
            </w:r>
            <w:r w:rsidR="00436474">
              <w:rPr>
                <w:rFonts w:ascii="Arial" w:hAnsi="Arial" w:cs="Arial"/>
                <w:b/>
                <w:sz w:val="20"/>
                <w:szCs w:val="20"/>
              </w:rPr>
              <w:t>ras, del día</w:t>
            </w:r>
            <w:r w:rsidR="002F5573">
              <w:rPr>
                <w:rFonts w:ascii="Arial" w:hAnsi="Arial" w:cs="Arial"/>
                <w:b/>
                <w:sz w:val="20"/>
                <w:szCs w:val="20"/>
              </w:rPr>
              <w:t xml:space="preserve"> 04</w:t>
            </w:r>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2F386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2F386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6775E6" w:rsidRDefault="00C41839" w:rsidP="006775E6">
            <w:pPr>
              <w:spacing w:after="0" w:line="240" w:lineRule="auto"/>
              <w:jc w:val="both"/>
              <w:rPr>
                <w:rFonts w:ascii="Calibri" w:eastAsia="Times New Roman" w:hAnsi="Calibri" w:cs="Calibri"/>
                <w:b/>
                <w:color w:val="000000"/>
                <w:sz w:val="28"/>
                <w:szCs w:val="28"/>
              </w:rPr>
            </w:pPr>
            <w:r>
              <w:rPr>
                <w:rFonts w:ascii="Calibri" w:eastAsia="Times New Roman" w:hAnsi="Calibri" w:cs="Calibri"/>
                <w:b/>
                <w:color w:val="000000"/>
                <w:sz w:val="28"/>
                <w:szCs w:val="28"/>
              </w:rPr>
              <w:t>CENTRO DE LAVADO DE 20 KGS</w:t>
            </w:r>
          </w:p>
          <w:p w:rsidR="008406CA" w:rsidRPr="00E12F88" w:rsidRDefault="002F5573" w:rsidP="006775E6">
            <w:pPr>
              <w:spacing w:after="0" w:line="240" w:lineRule="auto"/>
              <w:jc w:val="both"/>
              <w:rPr>
                <w:rFonts w:ascii="Calibri" w:eastAsia="Times New Roman" w:hAnsi="Calibri" w:cs="Calibri"/>
                <w:b/>
                <w:color w:val="000000"/>
                <w:sz w:val="28"/>
                <w:szCs w:val="28"/>
              </w:rPr>
            </w:pPr>
            <w:r>
              <w:rPr>
                <w:rFonts w:ascii="Calibri" w:eastAsia="Times New Roman" w:hAnsi="Calibri" w:cs="Calibri"/>
                <w:b/>
                <w:color w:val="000000"/>
                <w:sz w:val="28"/>
                <w:szCs w:val="28"/>
              </w:rPr>
              <w:t>GAS LP</w:t>
            </w:r>
            <w:r w:rsidR="00C41839">
              <w:rPr>
                <w:rFonts w:ascii="Calibri" w:eastAsia="Times New Roman" w:hAnsi="Calibri" w:cs="Calibri"/>
                <w:b/>
                <w:color w:val="000000"/>
                <w:sz w:val="28"/>
                <w:szCs w:val="28"/>
              </w:rPr>
              <w:t xml:space="preserve"> CONVERTIBLE A GAS NATURAL. VOLTAJE 110, TINA DE ACERO INOXIDABLE</w:t>
            </w:r>
          </w:p>
          <w:p w:rsidR="00F70225" w:rsidRDefault="00F70225" w:rsidP="006775E6">
            <w:pPr>
              <w:spacing w:after="0" w:line="240" w:lineRule="auto"/>
              <w:jc w:val="both"/>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2F5573" w:rsidP="002F5573">
            <w:pPr>
              <w:spacing w:after="0" w:line="240" w:lineRule="auto"/>
              <w:jc w:val="center"/>
              <w:rPr>
                <w:rFonts w:ascii="Calibri" w:eastAsia="Times New Roman" w:hAnsi="Calibri" w:cs="Calibri"/>
                <w:color w:val="000000"/>
                <w:sz w:val="32"/>
              </w:rPr>
            </w:pPr>
            <w:bookmarkStart w:id="0" w:name="_GoBack"/>
            <w:bookmarkEnd w:id="0"/>
            <w:r>
              <w:rPr>
                <w:rFonts w:ascii="Calibri" w:eastAsia="Times New Roman" w:hAnsi="Calibri" w:cs="Calibri"/>
                <w:color w:val="000000"/>
                <w:sz w:val="24"/>
                <w:szCs w:val="24"/>
              </w:rPr>
              <w:t>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E12F88"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CC" w:rsidRDefault="00F50BCC" w:rsidP="00EA3946">
      <w:pPr>
        <w:spacing w:after="0" w:line="240" w:lineRule="auto"/>
      </w:pPr>
      <w:r>
        <w:separator/>
      </w:r>
    </w:p>
  </w:endnote>
  <w:endnote w:type="continuationSeparator" w:id="0">
    <w:p w:rsidR="00F50BCC" w:rsidRDefault="00F50BC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6775E6" w:rsidRPr="006775E6">
          <w:rPr>
            <w:noProof/>
            <w:lang w:val="es-ES"/>
          </w:rPr>
          <w:t>21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CC" w:rsidRDefault="00F50BCC" w:rsidP="00EA3946">
      <w:pPr>
        <w:spacing w:after="0" w:line="240" w:lineRule="auto"/>
      </w:pPr>
      <w:r>
        <w:separator/>
      </w:r>
    </w:p>
  </w:footnote>
  <w:footnote w:type="continuationSeparator" w:id="0">
    <w:p w:rsidR="00F50BCC" w:rsidRDefault="00F50BCC"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37C7"/>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4974"/>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D0F0-6901-4346-B3BB-21D474E5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5367</Words>
  <Characters>29524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5</cp:revision>
  <cp:lastPrinted>2021-01-25T20:57:00Z</cp:lastPrinted>
  <dcterms:created xsi:type="dcterms:W3CDTF">2021-01-15T20:18:00Z</dcterms:created>
  <dcterms:modified xsi:type="dcterms:W3CDTF">2021-01-25T21:09:00Z</dcterms:modified>
</cp:coreProperties>
</file>