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F5467">
        <w:rPr>
          <w:rFonts w:ascii="Arial" w:eastAsia="Arial" w:hAnsi="Arial" w:cs="Arial"/>
          <w:b/>
          <w:sz w:val="20"/>
          <w:szCs w:val="20"/>
        </w:rPr>
        <w:t xml:space="preserve"> 119</w:t>
      </w:r>
      <w:r>
        <w:rPr>
          <w:rFonts w:ascii="Arial" w:eastAsia="Arial" w:hAnsi="Arial" w:cs="Arial"/>
          <w:b/>
          <w:sz w:val="20"/>
          <w:szCs w:val="20"/>
        </w:rPr>
        <w:t xml:space="preserve"> </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FF5467">
        <w:rPr>
          <w:rFonts w:ascii="Arial" w:eastAsia="Arial" w:hAnsi="Arial" w:cs="Arial"/>
          <w:b/>
          <w:sz w:val="20"/>
          <w:szCs w:val="20"/>
        </w:rPr>
        <w:t>18</w:t>
      </w:r>
      <w:r w:rsidR="007F1FC4">
        <w:rPr>
          <w:rFonts w:ascii="Arial" w:eastAsia="Arial" w:hAnsi="Arial" w:cs="Arial"/>
          <w:b/>
          <w:sz w:val="20"/>
          <w:szCs w:val="20"/>
        </w:rPr>
        <w:t xml:space="preserve"> DE NOVIE</w:t>
      </w:r>
      <w:r w:rsidR="00182DA2">
        <w:rPr>
          <w:rFonts w:ascii="Arial" w:eastAsia="Arial" w:hAnsi="Arial" w:cs="Arial"/>
          <w:b/>
          <w:sz w:val="20"/>
          <w:szCs w:val="20"/>
        </w:rPr>
        <w:t>M</w:t>
      </w:r>
      <w:r w:rsidR="004F00B6">
        <w:rPr>
          <w:rFonts w:ascii="Arial" w:eastAsia="Arial" w:hAnsi="Arial" w:cs="Arial"/>
          <w:b/>
          <w:sz w:val="20"/>
          <w:szCs w:val="20"/>
        </w:rPr>
        <w:t xml:space="preserve">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FF5467">
              <w:rPr>
                <w:rFonts w:ascii="Arial" w:eastAsia="Arial" w:hAnsi="Arial" w:cs="Arial"/>
                <w:b/>
                <w:sz w:val="20"/>
                <w:szCs w:val="20"/>
              </w:rPr>
              <w:t>Responsable de Laboratorio del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650" w:type="dxa"/>
              <w:tblCellMar>
                <w:left w:w="70" w:type="dxa"/>
                <w:right w:w="70" w:type="dxa"/>
              </w:tblCellMar>
              <w:tblLook w:val="04A0" w:firstRow="1" w:lastRow="0" w:firstColumn="1" w:lastColumn="0" w:noHBand="0" w:noVBand="1"/>
            </w:tblPr>
            <w:tblGrid>
              <w:gridCol w:w="1980"/>
              <w:gridCol w:w="5670"/>
            </w:tblGrid>
            <w:tr w:rsidR="00E12F88" w:rsidRPr="00734E2D" w:rsidTr="00E12F88">
              <w:trPr>
                <w:trHeight w:val="1199"/>
              </w:trPr>
              <w:tc>
                <w:tcPr>
                  <w:tcW w:w="19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12F88" w:rsidRPr="00734E2D" w:rsidRDefault="00E12F8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rsidR="00E12F88" w:rsidRPr="00734E2D" w:rsidRDefault="00E12F8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12F88" w:rsidRPr="00734E2D" w:rsidTr="00E12F88">
              <w:trPr>
                <w:trHeight w:val="81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F88" w:rsidRDefault="00E12F88"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12F88" w:rsidRPr="006A46EE" w:rsidRDefault="00E12F88" w:rsidP="00604B5D">
                  <w:pPr>
                    <w:spacing w:after="0" w:line="240" w:lineRule="auto"/>
                    <w:jc w:val="center"/>
                    <w:rPr>
                      <w:rFonts w:ascii="Calibri" w:eastAsia="Times New Roman" w:hAnsi="Calibri" w:cs="Calibri"/>
                      <w:color w:val="000000"/>
                      <w:sz w:val="24"/>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12F88" w:rsidRPr="00E72C28" w:rsidRDefault="00E12F88"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LANCETAS</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FF5467">
              <w:rPr>
                <w:rFonts w:ascii="Arial" w:eastAsia="Arial" w:hAnsi="Arial" w:cs="Arial"/>
                <w:b/>
                <w:sz w:val="20"/>
                <w:szCs w:val="20"/>
              </w:rPr>
              <w:t>18</w:t>
            </w:r>
            <w:r w:rsidR="007F1FC4">
              <w:rPr>
                <w:rFonts w:ascii="Arial" w:eastAsia="Arial" w:hAnsi="Arial" w:cs="Arial"/>
                <w:b/>
                <w:sz w:val="20"/>
                <w:szCs w:val="20"/>
              </w:rPr>
              <w:t xml:space="preserve"> de noviem</w:t>
            </w:r>
            <w:r w:rsidR="004F00B6" w:rsidRPr="004F00B6">
              <w:rPr>
                <w:rFonts w:ascii="Arial" w:eastAsia="Arial" w:hAnsi="Arial" w:cs="Arial"/>
                <w:b/>
                <w:sz w:val="20"/>
                <w:szCs w:val="20"/>
              </w:rPr>
              <w:t>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FF5467" w:rsidRPr="00FF5467">
              <w:rPr>
                <w:rFonts w:ascii="Arial" w:eastAsia="Arial" w:hAnsi="Arial" w:cs="Arial"/>
                <w:b/>
                <w:sz w:val="20"/>
                <w:szCs w:val="20"/>
              </w:rPr>
              <w:t>20</w:t>
            </w:r>
            <w:r w:rsidR="007F1FC4">
              <w:rPr>
                <w:rFonts w:ascii="Arial" w:eastAsia="Arial" w:hAnsi="Arial" w:cs="Arial"/>
                <w:sz w:val="20"/>
                <w:szCs w:val="20"/>
              </w:rPr>
              <w:t xml:space="preserve"> </w:t>
            </w:r>
            <w:r w:rsidR="000E12ED" w:rsidRPr="000E12ED">
              <w:rPr>
                <w:rFonts w:ascii="Arial" w:eastAsia="Arial" w:hAnsi="Arial" w:cs="Arial"/>
                <w:b/>
                <w:sz w:val="20"/>
                <w:szCs w:val="20"/>
              </w:rPr>
              <w:t>de noviem</w:t>
            </w:r>
            <w:r w:rsidR="004F00B6" w:rsidRPr="004F00B6">
              <w:rPr>
                <w:rFonts w:ascii="Arial" w:eastAsia="Arial" w:hAnsi="Arial" w:cs="Arial"/>
                <w:b/>
                <w:sz w:val="20"/>
                <w:szCs w:val="20"/>
              </w:rPr>
              <w:t>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452F3E">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FF5467">
              <w:rPr>
                <w:rFonts w:ascii="Arial" w:eastAsia="Arial" w:hAnsi="Arial" w:cs="Arial"/>
                <w:b/>
                <w:sz w:val="20"/>
                <w:szCs w:val="20"/>
              </w:rPr>
              <w:t>2</w:t>
            </w:r>
            <w:r w:rsidR="000E124C">
              <w:rPr>
                <w:rFonts w:ascii="Arial" w:eastAsia="Arial" w:hAnsi="Arial" w:cs="Arial"/>
                <w:b/>
                <w:sz w:val="20"/>
                <w:szCs w:val="20"/>
              </w:rPr>
              <w:t>3</w:t>
            </w:r>
            <w:r w:rsidR="000E12ED">
              <w:rPr>
                <w:rFonts w:ascii="Arial" w:eastAsia="Arial" w:hAnsi="Arial" w:cs="Arial"/>
                <w:b/>
                <w:sz w:val="20"/>
                <w:szCs w:val="20"/>
              </w:rPr>
              <w:t xml:space="preserve"> </w:t>
            </w:r>
            <w:r w:rsidR="0068406D">
              <w:rPr>
                <w:rFonts w:ascii="Arial" w:eastAsia="Arial" w:hAnsi="Arial" w:cs="Arial"/>
                <w:b/>
                <w:sz w:val="20"/>
                <w:szCs w:val="20"/>
              </w:rPr>
              <w:t>de noviem</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FF5467">
              <w:rPr>
                <w:rFonts w:ascii="Arial" w:eastAsia="Arial" w:hAnsi="Arial" w:cs="Arial"/>
                <w:b/>
                <w:sz w:val="20"/>
                <w:szCs w:val="20"/>
              </w:rPr>
              <w:t>24</w:t>
            </w:r>
            <w:r w:rsidR="0068406D">
              <w:rPr>
                <w:rFonts w:ascii="Arial" w:eastAsia="Arial" w:hAnsi="Arial" w:cs="Arial"/>
                <w:b/>
                <w:sz w:val="20"/>
                <w:szCs w:val="20"/>
              </w:rPr>
              <w:t xml:space="preserve"> de noviem</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E12F88">
              <w:rPr>
                <w:rFonts w:ascii="Arial" w:eastAsia="Arial" w:hAnsi="Arial" w:cs="Arial"/>
                <w:sz w:val="20"/>
                <w:szCs w:val="20"/>
              </w:rPr>
              <w:t>día 20</w:t>
            </w:r>
            <w:bookmarkStart w:id="0" w:name="_GoBack"/>
            <w:bookmarkEnd w:id="0"/>
            <w:r w:rsidR="007F1FC4">
              <w:rPr>
                <w:rFonts w:ascii="Arial" w:eastAsia="Arial" w:hAnsi="Arial" w:cs="Arial"/>
                <w:sz w:val="20"/>
                <w:szCs w:val="20"/>
              </w:rPr>
              <w:t xml:space="preserve"> de noviem</w:t>
            </w:r>
            <w:r w:rsidR="004F00B6">
              <w:rPr>
                <w:rFonts w:ascii="Arial" w:eastAsia="Arial" w:hAnsi="Arial" w:cs="Arial"/>
                <w:sz w:val="20"/>
                <w:szCs w:val="20"/>
              </w:rPr>
              <w:t xml:space="preserve">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FF5467">
              <w:rPr>
                <w:rFonts w:ascii="Arial" w:eastAsia="Arial" w:hAnsi="Arial" w:cs="Arial"/>
                <w:sz w:val="20"/>
                <w:szCs w:val="20"/>
                <w:u w:val="single"/>
              </w:rPr>
              <w:t>119</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7F1FC4">
              <w:rPr>
                <w:rFonts w:ascii="Arial" w:eastAsia="Arial" w:hAnsi="Arial" w:cs="Arial"/>
                <w:sz w:val="20"/>
                <w:szCs w:val="20"/>
                <w:u w:val="single"/>
              </w:rPr>
              <w:t>0</w:t>
            </w:r>
            <w:r w:rsidR="00FF5467">
              <w:rPr>
                <w:rFonts w:ascii="Arial" w:eastAsia="Arial" w:hAnsi="Arial" w:cs="Arial"/>
                <w:sz w:val="20"/>
                <w:szCs w:val="20"/>
                <w:u w:val="single"/>
              </w:rPr>
              <w:t xml:space="preserve"> con concepto de: Lancetas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FF5467">
              <w:rPr>
                <w:rFonts w:ascii="Arial" w:hAnsi="Arial" w:cs="Arial"/>
                <w:b/>
                <w:sz w:val="20"/>
                <w:szCs w:val="20"/>
              </w:rPr>
              <w:t xml:space="preserve"> 23</w:t>
            </w:r>
            <w:r w:rsidR="0091476C">
              <w:rPr>
                <w:rFonts w:ascii="Arial" w:hAnsi="Arial" w:cs="Arial"/>
                <w:b/>
                <w:sz w:val="20"/>
                <w:szCs w:val="20"/>
              </w:rPr>
              <w:t xml:space="preserve"> </w:t>
            </w:r>
            <w:r w:rsidR="0068406D">
              <w:rPr>
                <w:rFonts w:ascii="Arial" w:hAnsi="Arial" w:cs="Arial"/>
                <w:b/>
                <w:sz w:val="20"/>
                <w:szCs w:val="20"/>
              </w:rPr>
              <w:t>de noviem</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lastRenderedPageBreak/>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xml:space="preserve">, pudiendo realizar entrega parcial, en aquellos casos que la “CONVOCANTE” así lo autorice, por conducto la Jefatura de Recursos </w:t>
            </w:r>
            <w:r w:rsidRPr="00A95056">
              <w:rPr>
                <w:rFonts w:ascii="Arial" w:eastAsia="Arial" w:hAnsi="Arial" w:cs="Arial"/>
                <w:color w:val="000000" w:themeColor="text1"/>
                <w:sz w:val="20"/>
                <w:szCs w:val="20"/>
                <w:lang w:val="es-ES_tradnl"/>
              </w:rPr>
              <w:lastRenderedPageBreak/>
              <w:t>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lastRenderedPageBreak/>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0E45F3" w:rsidRDefault="000E45F3" w:rsidP="00C265D4">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68118C" w:rsidRDefault="0068118C"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E12F88">
        <w:trPr>
          <w:trHeight w:val="151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6D73D7">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8406CA" w:rsidRPr="00E12F88" w:rsidRDefault="00182DA2" w:rsidP="00E12F88">
            <w:pPr>
              <w:spacing w:after="0" w:line="240" w:lineRule="auto"/>
              <w:jc w:val="center"/>
              <w:rPr>
                <w:rFonts w:ascii="Calibri" w:eastAsia="Times New Roman" w:hAnsi="Calibri" w:cs="Calibri"/>
                <w:b/>
                <w:color w:val="000000"/>
                <w:sz w:val="28"/>
                <w:szCs w:val="28"/>
              </w:rPr>
            </w:pPr>
            <w:r w:rsidRPr="00E12F88">
              <w:rPr>
                <w:rFonts w:ascii="Calibri" w:eastAsia="Times New Roman" w:hAnsi="Calibri" w:cs="Calibri"/>
                <w:b/>
                <w:color w:val="000000"/>
                <w:sz w:val="28"/>
                <w:szCs w:val="28"/>
              </w:rPr>
              <w:t xml:space="preserve">LANCETAS QUIKHEEL </w:t>
            </w:r>
            <w:r w:rsidR="00E12F88" w:rsidRPr="00E12F88">
              <w:rPr>
                <w:rFonts w:ascii="Calibri" w:eastAsia="Times New Roman" w:hAnsi="Calibri" w:cs="Calibri"/>
                <w:b/>
                <w:color w:val="000000"/>
                <w:sz w:val="28"/>
                <w:szCs w:val="28"/>
              </w:rPr>
              <w:t>368101</w:t>
            </w:r>
          </w:p>
          <w:p w:rsidR="00F70225" w:rsidRDefault="00F70225" w:rsidP="00182DA2">
            <w:pPr>
              <w:spacing w:after="0" w:line="240" w:lineRule="auto"/>
              <w:jc w:val="center"/>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8118C" w:rsidRDefault="00E12F88" w:rsidP="00F70225">
            <w:pPr>
              <w:spacing w:after="0" w:line="240" w:lineRule="auto"/>
              <w:rPr>
                <w:rFonts w:ascii="Calibri" w:eastAsia="Times New Roman" w:hAnsi="Calibri" w:cs="Calibri"/>
                <w:color w:val="000000"/>
                <w:sz w:val="24"/>
                <w:szCs w:val="24"/>
              </w:rPr>
            </w:pPr>
            <w:r w:rsidRPr="00E12F88">
              <w:rPr>
                <w:rFonts w:ascii="Calibri" w:eastAsia="Times New Roman" w:hAnsi="Calibri" w:cs="Calibri"/>
                <w:color w:val="000000"/>
                <w:sz w:val="24"/>
                <w:szCs w:val="24"/>
              </w:rPr>
              <w:t>4</w:t>
            </w:r>
            <w:r>
              <w:rPr>
                <w:rFonts w:ascii="Calibri" w:eastAsia="Times New Roman" w:hAnsi="Calibri" w:cs="Calibri"/>
                <w:color w:val="000000"/>
                <w:sz w:val="24"/>
                <w:szCs w:val="24"/>
              </w:rPr>
              <w:t>0 CAJAS CON 50 PZAS CADA CAJA   O</w:t>
            </w:r>
          </w:p>
          <w:p w:rsidR="00E12F88" w:rsidRPr="00E12F88" w:rsidRDefault="00E12F88" w:rsidP="00F7022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2,000 UNIDADES</w:t>
            </w:r>
          </w:p>
          <w:p w:rsidR="007C0F73" w:rsidRPr="00EC4ED6" w:rsidRDefault="007C0F73" w:rsidP="00F70225">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Pr="00A95056" w:rsidRDefault="00B04F32">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E1" w:rsidRDefault="00DE28E1" w:rsidP="00EA3946">
      <w:pPr>
        <w:spacing w:after="0" w:line="240" w:lineRule="auto"/>
      </w:pPr>
      <w:r>
        <w:separator/>
      </w:r>
    </w:p>
  </w:endnote>
  <w:endnote w:type="continuationSeparator" w:id="0">
    <w:p w:rsidR="00DE28E1" w:rsidRDefault="00DE28E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E12F88" w:rsidRPr="00E12F88">
          <w:rPr>
            <w:noProof/>
            <w:lang w:val="es-ES"/>
          </w:rPr>
          <w:t>21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E1" w:rsidRDefault="00DE28E1" w:rsidP="00EA3946">
      <w:pPr>
        <w:spacing w:after="0" w:line="240" w:lineRule="auto"/>
      </w:pPr>
      <w:r>
        <w:separator/>
      </w:r>
    </w:p>
  </w:footnote>
  <w:footnote w:type="continuationSeparator" w:id="0">
    <w:p w:rsidR="00DE28E1" w:rsidRDefault="00DE28E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4B41"/>
    <w:rsid w:val="00994D5D"/>
    <w:rsid w:val="009A3F0A"/>
    <w:rsid w:val="009B42C5"/>
    <w:rsid w:val="009C2DA7"/>
    <w:rsid w:val="009C4B53"/>
    <w:rsid w:val="009C60DC"/>
    <w:rsid w:val="009E3993"/>
    <w:rsid w:val="009E69A9"/>
    <w:rsid w:val="009E71EC"/>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0225"/>
    <w:rsid w:val="00F73252"/>
    <w:rsid w:val="00F77E57"/>
    <w:rsid w:val="00F82FB2"/>
    <w:rsid w:val="00F865DB"/>
    <w:rsid w:val="00FA0C62"/>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46F6"/>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2CA85-AEDA-48DE-81BC-C8AADAD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21</Pages>
  <Words>5349</Words>
  <Characters>29423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49</cp:revision>
  <cp:lastPrinted>2020-11-18T19:03:00Z</cp:lastPrinted>
  <dcterms:created xsi:type="dcterms:W3CDTF">2020-09-04T16:51:00Z</dcterms:created>
  <dcterms:modified xsi:type="dcterms:W3CDTF">2020-11-18T19:04:00Z</dcterms:modified>
</cp:coreProperties>
</file>