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9A0E6B">
        <w:rPr>
          <w:rFonts w:ascii="Arial" w:eastAsia="Arial" w:hAnsi="Arial" w:cs="Arial"/>
          <w:b/>
          <w:sz w:val="20"/>
          <w:szCs w:val="20"/>
        </w:rPr>
        <w:t xml:space="preserve"> 107</w:t>
      </w:r>
      <w:r>
        <w:rPr>
          <w:rFonts w:ascii="Arial" w:eastAsia="Arial" w:hAnsi="Arial" w:cs="Arial"/>
          <w:b/>
          <w:sz w:val="20"/>
          <w:szCs w:val="20"/>
        </w:rPr>
        <w:t xml:space="preserve"> </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4F00B6">
        <w:rPr>
          <w:rFonts w:ascii="Arial" w:eastAsia="Arial" w:hAnsi="Arial" w:cs="Arial"/>
          <w:b/>
          <w:sz w:val="20"/>
          <w:szCs w:val="20"/>
        </w:rPr>
        <w:t xml:space="preserve"> </w:t>
      </w:r>
      <w:r w:rsidR="009A0E6B">
        <w:rPr>
          <w:rFonts w:ascii="Arial" w:eastAsia="Arial" w:hAnsi="Arial" w:cs="Arial"/>
          <w:b/>
          <w:sz w:val="20"/>
          <w:szCs w:val="20"/>
        </w:rPr>
        <w:t>19</w:t>
      </w:r>
      <w:r w:rsidR="00604B5D">
        <w:rPr>
          <w:rFonts w:ascii="Arial" w:eastAsia="Arial" w:hAnsi="Arial" w:cs="Arial"/>
          <w:b/>
          <w:sz w:val="20"/>
          <w:szCs w:val="20"/>
        </w:rPr>
        <w:t xml:space="preserve"> </w:t>
      </w:r>
      <w:r w:rsidR="004F00B6">
        <w:rPr>
          <w:rFonts w:ascii="Arial" w:eastAsia="Arial" w:hAnsi="Arial" w:cs="Arial"/>
          <w:b/>
          <w:sz w:val="20"/>
          <w:szCs w:val="20"/>
        </w:rPr>
        <w:t xml:space="preserve">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785B89">
              <w:rPr>
                <w:rFonts w:ascii="Arial" w:eastAsia="Arial" w:hAnsi="Arial" w:cs="Arial"/>
                <w:b/>
                <w:sz w:val="20"/>
                <w:szCs w:val="20"/>
              </w:rPr>
              <w:t>Jefatura de Enseñanza e Investigación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696"/>
              <w:gridCol w:w="3941"/>
              <w:gridCol w:w="1150"/>
              <w:gridCol w:w="1149"/>
            </w:tblGrid>
            <w:tr w:rsidR="003259A8" w:rsidRPr="00734E2D" w:rsidTr="00604B5D">
              <w:trPr>
                <w:trHeight w:val="1199"/>
              </w:trPr>
              <w:tc>
                <w:tcPr>
                  <w:tcW w:w="169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3941"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5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604B5D">
                  <w:pPr>
                    <w:spacing w:after="0" w:line="240" w:lineRule="auto"/>
                    <w:jc w:val="center"/>
                    <w:rPr>
                      <w:rFonts w:ascii="Calibri" w:eastAsia="Times New Roman" w:hAnsi="Calibri" w:cs="Calibri"/>
                      <w:color w:val="000000"/>
                      <w:sz w:val="24"/>
                    </w:rPr>
                  </w:pP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2615E3" w:rsidRPr="00E72C28" w:rsidRDefault="00CE264A"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COLCHONES</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3259A8" w:rsidRDefault="00CE264A"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8</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980AC1">
                  <w:pPr>
                    <w:spacing w:after="0" w:line="240" w:lineRule="auto"/>
                    <w:rPr>
                      <w:rFonts w:ascii="Calibri" w:eastAsia="Times New Roman" w:hAnsi="Calibri" w:cs="Calibri"/>
                      <w:color w:val="000000"/>
                      <w:sz w:val="24"/>
                    </w:rPr>
                  </w:pPr>
                </w:p>
              </w:tc>
            </w:tr>
            <w:tr w:rsidR="00785B89"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B89" w:rsidRPr="006A46EE" w:rsidRDefault="00604B5D"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785B89" w:rsidRDefault="00CE264A" w:rsidP="00604B5D">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LITERAS</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785B89" w:rsidRDefault="00CE264A"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4</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785B89" w:rsidRDefault="00604B5D"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4F00B6" w:rsidRPr="004F00B6">
              <w:rPr>
                <w:rFonts w:ascii="Arial" w:eastAsia="Arial" w:hAnsi="Arial" w:cs="Arial"/>
                <w:b/>
                <w:sz w:val="20"/>
                <w:szCs w:val="20"/>
              </w:rPr>
              <w:t xml:space="preserve"> </w:t>
            </w:r>
            <w:r w:rsidR="009A0E6B">
              <w:rPr>
                <w:rFonts w:ascii="Arial" w:eastAsia="Arial" w:hAnsi="Arial" w:cs="Arial"/>
                <w:b/>
                <w:sz w:val="20"/>
                <w:szCs w:val="20"/>
              </w:rPr>
              <w:t>19</w:t>
            </w:r>
            <w:r w:rsidR="004E7668">
              <w:rPr>
                <w:rFonts w:ascii="Arial" w:eastAsia="Arial" w:hAnsi="Arial" w:cs="Arial"/>
                <w:b/>
                <w:sz w:val="20"/>
                <w:szCs w:val="20"/>
              </w:rPr>
              <w:t xml:space="preserve"> </w:t>
            </w:r>
            <w:r w:rsidR="004F00B6" w:rsidRPr="004F00B6">
              <w:rPr>
                <w:rFonts w:ascii="Arial" w:eastAsia="Arial" w:hAnsi="Arial" w:cs="Arial"/>
                <w:b/>
                <w:sz w:val="20"/>
                <w:szCs w:val="20"/>
              </w:rPr>
              <w:t>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604B5D">
              <w:rPr>
                <w:rFonts w:ascii="Arial" w:eastAsia="Arial" w:hAnsi="Arial" w:cs="Arial"/>
                <w:sz w:val="20"/>
                <w:szCs w:val="20"/>
              </w:rPr>
              <w:t xml:space="preserve"> de</w:t>
            </w:r>
            <w:r w:rsidR="004F00B6" w:rsidRPr="004F00B6">
              <w:rPr>
                <w:rFonts w:ascii="Arial" w:eastAsia="Arial" w:hAnsi="Arial" w:cs="Arial"/>
                <w:b/>
                <w:sz w:val="20"/>
                <w:szCs w:val="20"/>
              </w:rPr>
              <w:t xml:space="preserve"> </w:t>
            </w:r>
            <w:r w:rsidR="00136960">
              <w:rPr>
                <w:rFonts w:ascii="Arial" w:eastAsia="Arial" w:hAnsi="Arial" w:cs="Arial"/>
                <w:b/>
                <w:sz w:val="20"/>
                <w:szCs w:val="20"/>
              </w:rPr>
              <w:t>22</w:t>
            </w:r>
            <w:r w:rsidR="00604B5D">
              <w:rPr>
                <w:rFonts w:ascii="Arial" w:eastAsia="Arial" w:hAnsi="Arial" w:cs="Arial"/>
                <w:b/>
                <w:sz w:val="20"/>
                <w:szCs w:val="20"/>
              </w:rPr>
              <w:t xml:space="preserve"> </w:t>
            </w:r>
            <w:r w:rsidR="004F00B6" w:rsidRPr="004F00B6">
              <w:rPr>
                <w:rFonts w:ascii="Arial" w:eastAsia="Arial" w:hAnsi="Arial" w:cs="Arial"/>
                <w:b/>
                <w:sz w:val="20"/>
                <w:szCs w:val="20"/>
              </w:rPr>
              <w:t>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9A0E6B">
              <w:rPr>
                <w:rFonts w:ascii="Arial" w:eastAsia="Arial" w:hAnsi="Arial" w:cs="Arial"/>
                <w:b/>
                <w:sz w:val="20"/>
                <w:szCs w:val="20"/>
              </w:rPr>
              <w:t xml:space="preserve"> 2020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980AC1">
              <w:rPr>
                <w:rFonts w:ascii="Arial" w:eastAsia="Arial" w:hAnsi="Arial" w:cs="Arial"/>
                <w:b/>
                <w:sz w:val="20"/>
                <w:szCs w:val="20"/>
              </w:rPr>
              <w:t xml:space="preserve"> </w:t>
            </w:r>
            <w:r w:rsidR="009A0E6B">
              <w:rPr>
                <w:rFonts w:ascii="Arial" w:eastAsia="Arial" w:hAnsi="Arial" w:cs="Arial"/>
                <w:b/>
                <w:sz w:val="20"/>
                <w:szCs w:val="20"/>
              </w:rPr>
              <w:t>28</w:t>
            </w:r>
            <w:r w:rsidR="00FE27B9">
              <w:rPr>
                <w:rFonts w:ascii="Arial" w:eastAsia="Arial" w:hAnsi="Arial" w:cs="Arial"/>
                <w:b/>
                <w:sz w:val="20"/>
                <w:szCs w:val="20"/>
              </w:rPr>
              <w:t xml:space="preserve"> </w:t>
            </w:r>
            <w:r w:rsidR="00980AC1">
              <w:rPr>
                <w:rFonts w:ascii="Arial" w:eastAsia="Arial" w:hAnsi="Arial" w:cs="Arial"/>
                <w:b/>
                <w:sz w:val="20"/>
                <w:szCs w:val="20"/>
              </w:rPr>
              <w:t>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9A0E6B">
              <w:rPr>
                <w:rFonts w:ascii="Arial" w:eastAsia="Arial" w:hAnsi="Arial" w:cs="Arial"/>
                <w:b/>
                <w:sz w:val="20"/>
                <w:szCs w:val="20"/>
              </w:rPr>
              <w:t>29</w:t>
            </w:r>
            <w:r>
              <w:rPr>
                <w:rFonts w:ascii="Arial" w:eastAsia="Arial" w:hAnsi="Arial" w:cs="Arial"/>
                <w:b/>
                <w:sz w:val="20"/>
                <w:szCs w:val="20"/>
              </w:rPr>
              <w:t xml:space="preserve"> de</w:t>
            </w:r>
            <w:r w:rsidR="00980AC1">
              <w:rPr>
                <w:rFonts w:ascii="Arial" w:eastAsia="Arial" w:hAnsi="Arial" w:cs="Arial"/>
                <w:b/>
                <w:sz w:val="20"/>
                <w:szCs w:val="20"/>
              </w:rPr>
              <w:t xml:space="preserve"> octu</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F00B6" w:rsidRPr="00A95056">
              <w:rPr>
                <w:rFonts w:ascii="Arial" w:eastAsia="Arial" w:hAnsi="Arial" w:cs="Arial"/>
                <w:sz w:val="20"/>
                <w:szCs w:val="20"/>
              </w:rPr>
              <w:t xml:space="preserve">día </w:t>
            </w:r>
            <w:r w:rsidR="00136960">
              <w:rPr>
                <w:rFonts w:ascii="Arial" w:eastAsia="Arial" w:hAnsi="Arial" w:cs="Arial"/>
                <w:sz w:val="20"/>
                <w:szCs w:val="20"/>
              </w:rPr>
              <w:t>22</w:t>
            </w:r>
            <w:r w:rsidR="004F00B6">
              <w:rPr>
                <w:rFonts w:ascii="Arial" w:eastAsia="Arial" w:hAnsi="Arial" w:cs="Arial"/>
                <w:sz w:val="20"/>
                <w:szCs w:val="20"/>
              </w:rPr>
              <w:t xml:space="preserve">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9A0E6B">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w:t>
            </w:r>
            <w:r w:rsidR="00625BC6" w:rsidRPr="00A95056">
              <w:rPr>
                <w:rFonts w:ascii="Arial" w:eastAsia="Arial" w:hAnsi="Arial" w:cs="Arial"/>
                <w:sz w:val="20"/>
                <w:szCs w:val="20"/>
              </w:rPr>
              <w:lastRenderedPageBreak/>
              <w:t>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numero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 xml:space="preserve">C </w:t>
            </w:r>
            <w:r w:rsidR="009A0E6B">
              <w:rPr>
                <w:rFonts w:ascii="Arial" w:eastAsia="Arial" w:hAnsi="Arial" w:cs="Arial"/>
                <w:sz w:val="20"/>
                <w:szCs w:val="20"/>
                <w:u w:val="single"/>
              </w:rPr>
              <w:t>107</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9A0E6B">
              <w:rPr>
                <w:rFonts w:ascii="Arial" w:eastAsia="Arial" w:hAnsi="Arial" w:cs="Arial"/>
                <w:sz w:val="20"/>
                <w:szCs w:val="20"/>
                <w:u w:val="single"/>
              </w:rPr>
              <w:t xml:space="preserve"> concepto de colchones y literas para Enseñanza</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1476C">
              <w:rPr>
                <w:rFonts w:ascii="Arial" w:hAnsi="Arial" w:cs="Arial"/>
                <w:b/>
                <w:sz w:val="20"/>
                <w:szCs w:val="20"/>
              </w:rPr>
              <w:t xml:space="preserve"> </w:t>
            </w:r>
            <w:r w:rsidR="00E928B6">
              <w:rPr>
                <w:rFonts w:ascii="Arial" w:hAnsi="Arial" w:cs="Arial"/>
                <w:b/>
                <w:sz w:val="20"/>
                <w:szCs w:val="20"/>
              </w:rPr>
              <w:t>28</w:t>
            </w:r>
            <w:r w:rsidR="004F00B6">
              <w:rPr>
                <w:rFonts w:ascii="Arial" w:hAnsi="Arial" w:cs="Arial"/>
                <w:b/>
                <w:sz w:val="20"/>
                <w:szCs w:val="20"/>
              </w:rPr>
              <w:t xml:space="preserve"> </w:t>
            </w:r>
            <w:r w:rsidR="00597E02">
              <w:rPr>
                <w:rFonts w:ascii="Arial" w:hAnsi="Arial" w:cs="Arial"/>
                <w:b/>
                <w:sz w:val="20"/>
                <w:szCs w:val="20"/>
              </w:rPr>
              <w:t>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Default="000913F7" w:rsidP="009E71EC">
            <w:pPr>
              <w:spacing w:after="200" w:line="276" w:lineRule="auto"/>
              <w:jc w:val="both"/>
              <w:rPr>
                <w:rFonts w:ascii="Arial" w:eastAsia="Arial" w:hAnsi="Arial" w:cs="Arial"/>
                <w:sz w:val="20"/>
                <w:szCs w:val="20"/>
              </w:rPr>
            </w:pPr>
          </w:p>
          <w:p w:rsidR="00CE264A" w:rsidRDefault="00CE264A" w:rsidP="009E71EC">
            <w:pPr>
              <w:spacing w:after="200" w:line="276" w:lineRule="auto"/>
              <w:jc w:val="both"/>
              <w:rPr>
                <w:rFonts w:ascii="Arial" w:eastAsia="Arial" w:hAnsi="Arial" w:cs="Arial"/>
                <w:sz w:val="20"/>
                <w:szCs w:val="20"/>
              </w:rPr>
            </w:pPr>
          </w:p>
          <w:p w:rsidR="00CE264A" w:rsidRPr="00A95056" w:rsidRDefault="00CE264A"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w:t>
            </w:r>
            <w:r w:rsidR="00DF105D" w:rsidRPr="00A95056">
              <w:rPr>
                <w:rFonts w:ascii="Arial" w:eastAsia="Arial" w:hAnsi="Arial" w:cs="Arial"/>
                <w:sz w:val="20"/>
                <w:szCs w:val="20"/>
              </w:rPr>
              <w:lastRenderedPageBreak/>
              <w:t xml:space="preserve">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lastRenderedPageBreak/>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bookmarkStart w:id="0" w:name="_GoBack"/>
            <w:bookmarkEnd w:id="0"/>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F263DF">
              <w:rPr>
                <w:rFonts w:ascii="Arial" w:eastAsia="Arial" w:hAnsi="Arial" w:cs="Arial"/>
                <w:sz w:val="20"/>
                <w:szCs w:val="20"/>
                <w:lang w:val="es-ES_tradnl"/>
              </w:rPr>
              <w:t xml:space="preserve">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 xml:space="preserve">al </w:t>
            </w:r>
            <w:r w:rsidRPr="00A95056">
              <w:rPr>
                <w:rFonts w:ascii="Arial" w:hAnsi="Arial" w:cs="Arial"/>
                <w:b/>
                <w:color w:val="000000" w:themeColor="text1"/>
                <w:sz w:val="20"/>
                <w:szCs w:val="20"/>
                <w:highlight w:val="yellow"/>
              </w:rPr>
              <w:lastRenderedPageBreak/>
              <w:t>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9A0E6B">
      <w:pPr>
        <w:spacing w:after="0" w:line="240" w:lineRule="auto"/>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rsidP="00FC6108">
      <w:pPr>
        <w:spacing w:after="0" w:line="240" w:lineRule="auto"/>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91476C" w:rsidRDefault="0091476C" w:rsidP="0091476C">
            <w:pPr>
              <w:spacing w:after="0" w:line="240" w:lineRule="auto"/>
              <w:rPr>
                <w:rFonts w:ascii="Calibri" w:eastAsia="Times New Roman" w:hAnsi="Calibri" w:cs="Calibri"/>
                <w:b/>
                <w:bCs/>
                <w:color w:val="000000"/>
              </w:rPr>
            </w:pPr>
          </w:p>
          <w:p w:rsidR="00EA396E" w:rsidRPr="00734E2D" w:rsidRDefault="0091476C" w:rsidP="0091476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EA396E"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C5284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C5284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824924">
        <w:trPr>
          <w:trHeight w:val="151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60" w:rsidRPr="006A46EE" w:rsidRDefault="00C5284C" w:rsidP="00580563">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EB01A0" w:rsidRPr="00CE264A" w:rsidRDefault="00CE264A" w:rsidP="00CE264A">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COLCHÓ</w:t>
            </w:r>
            <w:r w:rsidRPr="00CE264A">
              <w:rPr>
                <w:rFonts w:ascii="Calibri" w:eastAsia="Times New Roman" w:hAnsi="Calibri" w:cs="Calibri"/>
                <w:b/>
                <w:color w:val="000000"/>
                <w:sz w:val="24"/>
              </w:rPr>
              <w:t>N INDIVIDUAL</w:t>
            </w:r>
            <w:r w:rsidR="00012550">
              <w:rPr>
                <w:rFonts w:ascii="Calibri" w:eastAsia="Times New Roman" w:hAnsi="Calibri" w:cs="Calibri"/>
                <w:b/>
                <w:color w:val="000000"/>
                <w:sz w:val="24"/>
              </w:rPr>
              <w:t xml:space="preserve"> / NIVEL DE FIRMEZA MEDIO /CONSTRUIDO EN RESORTES CON ACOJINAMIENTO REFORZADO</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Pr="00EC4ED6" w:rsidRDefault="00CE264A" w:rsidP="00CE264A">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8</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B2560" w:rsidRPr="00EC4ED6" w:rsidRDefault="00C5284C" w:rsidP="00580563">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tc>
      </w:tr>
      <w:tr w:rsidR="00824924" w:rsidRPr="00734E2D" w:rsidTr="00824924">
        <w:trPr>
          <w:trHeight w:val="943"/>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924" w:rsidRDefault="00C5284C" w:rsidP="00580563">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824924" w:rsidRPr="00CE264A" w:rsidRDefault="00012550" w:rsidP="00CE264A">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LITERA </w:t>
            </w:r>
            <w:r w:rsidR="00B44A13">
              <w:rPr>
                <w:rFonts w:ascii="Calibri" w:eastAsia="Times New Roman" w:hAnsi="Calibri" w:cs="Calibri"/>
                <w:b/>
                <w:color w:val="000000"/>
                <w:sz w:val="24"/>
              </w:rPr>
              <w:t xml:space="preserve">INDIVIDUAL / CONVERTIBLE A CAMAS INDIVIDUALES / PINTURA EPÓXICA DE ALTA RESISTENCIA / TAMBORES DE ÁNGULO DE ACERO / ACABADO EN COLOR BLANCO/ MEDIDAS: 100 CM X 192 CM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824924" w:rsidRDefault="00CE264A" w:rsidP="00580563">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4</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824924" w:rsidRDefault="00C5284C" w:rsidP="00580563">
            <w:pPr>
              <w:spacing w:after="0" w:line="240" w:lineRule="auto"/>
              <w:jc w:val="center"/>
              <w:rPr>
                <w:rFonts w:ascii="Calibri" w:eastAsia="Times New Roman" w:hAnsi="Calibri" w:cs="Calibri"/>
                <w:color w:val="000000"/>
                <w:sz w:val="32"/>
              </w:rPr>
            </w:pPr>
            <w:proofErr w:type="spellStart"/>
            <w:r>
              <w:rPr>
                <w:rFonts w:ascii="Calibri" w:eastAsia="Times New Roman" w:hAnsi="Calibri" w:cs="Calibri"/>
                <w:color w:val="000000"/>
                <w:sz w:val="32"/>
              </w:rPr>
              <w:t>Pz</w:t>
            </w:r>
            <w:proofErr w:type="spellEnd"/>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CE264A" w:rsidRDefault="00CE264A">
      <w:pPr>
        <w:spacing w:after="200" w:line="276" w:lineRule="auto"/>
        <w:jc w:val="center"/>
        <w:rPr>
          <w:rFonts w:ascii="Arial" w:eastAsia="Arial" w:hAnsi="Arial" w:cs="Arial"/>
          <w:b/>
          <w:sz w:val="20"/>
          <w:szCs w:val="20"/>
        </w:rPr>
      </w:pPr>
    </w:p>
    <w:p w:rsidR="00CE264A" w:rsidRDefault="00CE264A">
      <w:pPr>
        <w:spacing w:after="200" w:line="276" w:lineRule="auto"/>
        <w:jc w:val="center"/>
        <w:rPr>
          <w:rFonts w:ascii="Arial" w:eastAsia="Arial" w:hAnsi="Arial" w:cs="Arial"/>
          <w:b/>
          <w:sz w:val="20"/>
          <w:szCs w:val="20"/>
        </w:rPr>
      </w:pPr>
    </w:p>
    <w:p w:rsidR="00CE264A" w:rsidRDefault="00CE264A">
      <w:pPr>
        <w:spacing w:after="200" w:line="276" w:lineRule="auto"/>
        <w:jc w:val="center"/>
        <w:rPr>
          <w:rFonts w:ascii="Arial" w:eastAsia="Arial" w:hAnsi="Arial" w:cs="Arial"/>
          <w:b/>
          <w:sz w:val="20"/>
          <w:szCs w:val="20"/>
        </w:rPr>
      </w:pPr>
    </w:p>
    <w:p w:rsidR="00CE264A" w:rsidRPr="00A95056" w:rsidRDefault="00CE264A">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CE264A" w:rsidRDefault="00CE264A">
      <w:pPr>
        <w:spacing w:after="200" w:line="276" w:lineRule="auto"/>
        <w:ind w:left="708" w:hanging="708"/>
        <w:jc w:val="center"/>
        <w:rPr>
          <w:rFonts w:ascii="Arial" w:eastAsia="Arial" w:hAnsi="Arial" w:cs="Arial"/>
          <w:b/>
          <w:sz w:val="20"/>
          <w:szCs w:val="20"/>
        </w:rPr>
      </w:pPr>
    </w:p>
    <w:p w:rsidR="00CE264A" w:rsidRDefault="00CE264A">
      <w:pPr>
        <w:spacing w:after="200" w:line="276" w:lineRule="auto"/>
        <w:ind w:left="708" w:hanging="708"/>
        <w:jc w:val="center"/>
        <w:rPr>
          <w:rFonts w:ascii="Arial" w:eastAsia="Arial" w:hAnsi="Arial" w:cs="Arial"/>
          <w:b/>
          <w:sz w:val="20"/>
          <w:szCs w:val="20"/>
        </w:rPr>
      </w:pPr>
    </w:p>
    <w:p w:rsidR="00CE264A" w:rsidRDefault="00CE264A">
      <w:pPr>
        <w:spacing w:after="200" w:line="276" w:lineRule="auto"/>
        <w:ind w:left="708" w:hanging="708"/>
        <w:jc w:val="center"/>
        <w:rPr>
          <w:rFonts w:ascii="Arial" w:eastAsia="Arial" w:hAnsi="Arial" w:cs="Arial"/>
          <w:b/>
          <w:sz w:val="20"/>
          <w:szCs w:val="20"/>
        </w:rPr>
      </w:pPr>
    </w:p>
    <w:p w:rsidR="00CE264A" w:rsidRDefault="00CE264A">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05" w:rsidRDefault="00FE0F05" w:rsidP="00EA3946">
      <w:pPr>
        <w:spacing w:after="0" w:line="240" w:lineRule="auto"/>
      </w:pPr>
      <w:r>
        <w:separator/>
      </w:r>
    </w:p>
  </w:endnote>
  <w:endnote w:type="continuationSeparator" w:id="0">
    <w:p w:rsidR="00FE0F05" w:rsidRDefault="00FE0F0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5284C" w:rsidRDefault="00C5284C">
        <w:pPr>
          <w:pStyle w:val="Piedepgina"/>
          <w:jc w:val="center"/>
        </w:pPr>
        <w:r>
          <w:fldChar w:fldCharType="begin"/>
        </w:r>
        <w:r>
          <w:instrText>PAGE   \* MERGEFORMAT</w:instrText>
        </w:r>
        <w:r>
          <w:fldChar w:fldCharType="separate"/>
        </w:r>
        <w:r w:rsidR="00F263DF" w:rsidRPr="00F263DF">
          <w:rPr>
            <w:noProof/>
            <w:lang w:val="es-ES"/>
          </w:rPr>
          <w:t>20</w:t>
        </w:r>
        <w:r>
          <w:fldChar w:fldCharType="end"/>
        </w:r>
      </w:p>
    </w:sdtContent>
  </w:sdt>
  <w:p w:rsidR="00C5284C" w:rsidRDefault="00C528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05" w:rsidRDefault="00FE0F05" w:rsidP="00EA3946">
      <w:pPr>
        <w:spacing w:after="0" w:line="240" w:lineRule="auto"/>
      </w:pPr>
      <w:r>
        <w:separator/>
      </w:r>
    </w:p>
  </w:footnote>
  <w:footnote w:type="continuationSeparator" w:id="0">
    <w:p w:rsidR="00FE0F05" w:rsidRDefault="00FE0F05"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4C" w:rsidRDefault="00C5284C"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C5284C" w:rsidRPr="00483D1C" w:rsidRDefault="00C5284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4C" w:rsidRDefault="00C5284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5284C" w:rsidRDefault="00C5284C" w:rsidP="00483D1C">
    <w:pPr>
      <w:pStyle w:val="Encabezado"/>
      <w:tabs>
        <w:tab w:val="clear" w:pos="4252"/>
        <w:tab w:val="clear" w:pos="8504"/>
        <w:tab w:val="center" w:pos="4135"/>
      </w:tabs>
    </w:pPr>
  </w:p>
  <w:p w:rsidR="00C5284C" w:rsidRPr="00483D1C" w:rsidRDefault="00C5284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2550"/>
    <w:rsid w:val="00017B23"/>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0F11E8"/>
    <w:rsid w:val="00102E02"/>
    <w:rsid w:val="00105FD9"/>
    <w:rsid w:val="00107D79"/>
    <w:rsid w:val="00110454"/>
    <w:rsid w:val="0011206C"/>
    <w:rsid w:val="00112225"/>
    <w:rsid w:val="00126990"/>
    <w:rsid w:val="0013627F"/>
    <w:rsid w:val="00136960"/>
    <w:rsid w:val="001447C3"/>
    <w:rsid w:val="00147EC1"/>
    <w:rsid w:val="001619E6"/>
    <w:rsid w:val="00172CC7"/>
    <w:rsid w:val="00183037"/>
    <w:rsid w:val="001B3739"/>
    <w:rsid w:val="001B68E7"/>
    <w:rsid w:val="001D37EF"/>
    <w:rsid w:val="001D755F"/>
    <w:rsid w:val="001E0B81"/>
    <w:rsid w:val="001E0CD1"/>
    <w:rsid w:val="001E4915"/>
    <w:rsid w:val="001F0176"/>
    <w:rsid w:val="001F3E05"/>
    <w:rsid w:val="00204EB4"/>
    <w:rsid w:val="0020654B"/>
    <w:rsid w:val="00206C71"/>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1A76"/>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7E02"/>
    <w:rsid w:val="005A245F"/>
    <w:rsid w:val="005D0746"/>
    <w:rsid w:val="005D344F"/>
    <w:rsid w:val="005E4AE0"/>
    <w:rsid w:val="005E59A4"/>
    <w:rsid w:val="005F1835"/>
    <w:rsid w:val="006034D1"/>
    <w:rsid w:val="00604B5D"/>
    <w:rsid w:val="00611CCD"/>
    <w:rsid w:val="006127F1"/>
    <w:rsid w:val="006138FB"/>
    <w:rsid w:val="006214F7"/>
    <w:rsid w:val="00625BC6"/>
    <w:rsid w:val="006271E8"/>
    <w:rsid w:val="0064302C"/>
    <w:rsid w:val="00643437"/>
    <w:rsid w:val="006573BD"/>
    <w:rsid w:val="00657B74"/>
    <w:rsid w:val="006A46EE"/>
    <w:rsid w:val="006A5C54"/>
    <w:rsid w:val="006A66D4"/>
    <w:rsid w:val="006B216B"/>
    <w:rsid w:val="006C03F9"/>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57981"/>
    <w:rsid w:val="0076345E"/>
    <w:rsid w:val="0077355E"/>
    <w:rsid w:val="00777941"/>
    <w:rsid w:val="00785B89"/>
    <w:rsid w:val="007B0D20"/>
    <w:rsid w:val="007B56CD"/>
    <w:rsid w:val="007C0E50"/>
    <w:rsid w:val="007D3732"/>
    <w:rsid w:val="007E3C11"/>
    <w:rsid w:val="007E3E12"/>
    <w:rsid w:val="007F1294"/>
    <w:rsid w:val="00803109"/>
    <w:rsid w:val="00803DC9"/>
    <w:rsid w:val="00807313"/>
    <w:rsid w:val="0081179F"/>
    <w:rsid w:val="0081561C"/>
    <w:rsid w:val="0081704E"/>
    <w:rsid w:val="0082053F"/>
    <w:rsid w:val="00824924"/>
    <w:rsid w:val="00833B69"/>
    <w:rsid w:val="00837AFA"/>
    <w:rsid w:val="008528CA"/>
    <w:rsid w:val="0085382E"/>
    <w:rsid w:val="008647C6"/>
    <w:rsid w:val="00870457"/>
    <w:rsid w:val="00872283"/>
    <w:rsid w:val="00885219"/>
    <w:rsid w:val="00885FC0"/>
    <w:rsid w:val="00892EFC"/>
    <w:rsid w:val="008939A6"/>
    <w:rsid w:val="00894E60"/>
    <w:rsid w:val="008B18D1"/>
    <w:rsid w:val="008D200D"/>
    <w:rsid w:val="008F66E0"/>
    <w:rsid w:val="008F7B16"/>
    <w:rsid w:val="00903E10"/>
    <w:rsid w:val="0091177E"/>
    <w:rsid w:val="0091476C"/>
    <w:rsid w:val="00920A29"/>
    <w:rsid w:val="009312D2"/>
    <w:rsid w:val="00933E36"/>
    <w:rsid w:val="009414EC"/>
    <w:rsid w:val="00943FA2"/>
    <w:rsid w:val="00952A7E"/>
    <w:rsid w:val="00957CEA"/>
    <w:rsid w:val="00974CC7"/>
    <w:rsid w:val="00980AC1"/>
    <w:rsid w:val="009929CE"/>
    <w:rsid w:val="00994B41"/>
    <w:rsid w:val="009A0E6B"/>
    <w:rsid w:val="009A3F0A"/>
    <w:rsid w:val="009B42C5"/>
    <w:rsid w:val="009C4B53"/>
    <w:rsid w:val="009E3993"/>
    <w:rsid w:val="009E69A9"/>
    <w:rsid w:val="009E71EC"/>
    <w:rsid w:val="00A03A7B"/>
    <w:rsid w:val="00A06B96"/>
    <w:rsid w:val="00A1355E"/>
    <w:rsid w:val="00A24CF5"/>
    <w:rsid w:val="00A313EC"/>
    <w:rsid w:val="00A36ED8"/>
    <w:rsid w:val="00A47A9E"/>
    <w:rsid w:val="00A57F25"/>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0FC2"/>
    <w:rsid w:val="00B42067"/>
    <w:rsid w:val="00B424E7"/>
    <w:rsid w:val="00B44A13"/>
    <w:rsid w:val="00B53F28"/>
    <w:rsid w:val="00B770E0"/>
    <w:rsid w:val="00B77F9F"/>
    <w:rsid w:val="00B913CC"/>
    <w:rsid w:val="00BA7277"/>
    <w:rsid w:val="00BC7478"/>
    <w:rsid w:val="00BE30D4"/>
    <w:rsid w:val="00BE54D0"/>
    <w:rsid w:val="00BE5C13"/>
    <w:rsid w:val="00BF562A"/>
    <w:rsid w:val="00BF67B8"/>
    <w:rsid w:val="00BF7A8F"/>
    <w:rsid w:val="00C327DC"/>
    <w:rsid w:val="00C350EB"/>
    <w:rsid w:val="00C44047"/>
    <w:rsid w:val="00C441CF"/>
    <w:rsid w:val="00C5284C"/>
    <w:rsid w:val="00C67B13"/>
    <w:rsid w:val="00C72512"/>
    <w:rsid w:val="00C73F90"/>
    <w:rsid w:val="00C74493"/>
    <w:rsid w:val="00C92EDA"/>
    <w:rsid w:val="00CA31FB"/>
    <w:rsid w:val="00CA53EB"/>
    <w:rsid w:val="00CB5879"/>
    <w:rsid w:val="00CC2CDA"/>
    <w:rsid w:val="00CC72A2"/>
    <w:rsid w:val="00CD1BEB"/>
    <w:rsid w:val="00CD7D15"/>
    <w:rsid w:val="00CE264A"/>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918EF"/>
    <w:rsid w:val="00E928B6"/>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263DF"/>
    <w:rsid w:val="00F315DB"/>
    <w:rsid w:val="00F3672A"/>
    <w:rsid w:val="00F444D9"/>
    <w:rsid w:val="00F51DF6"/>
    <w:rsid w:val="00F73252"/>
    <w:rsid w:val="00F737ED"/>
    <w:rsid w:val="00F77E57"/>
    <w:rsid w:val="00F82FB2"/>
    <w:rsid w:val="00F865DB"/>
    <w:rsid w:val="00FA0C62"/>
    <w:rsid w:val="00FA78CD"/>
    <w:rsid w:val="00FB77F8"/>
    <w:rsid w:val="00FC0A42"/>
    <w:rsid w:val="00FC3866"/>
    <w:rsid w:val="00FC6108"/>
    <w:rsid w:val="00FE0F05"/>
    <w:rsid w:val="00FE27B9"/>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D36C6"/>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4EB6-5113-47F8-8F58-9D7FB87F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5388</Words>
  <Characters>29634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7</cp:revision>
  <cp:lastPrinted>2020-10-19T17:41:00Z</cp:lastPrinted>
  <dcterms:created xsi:type="dcterms:W3CDTF">2020-10-16T15:53:00Z</dcterms:created>
  <dcterms:modified xsi:type="dcterms:W3CDTF">2020-10-19T17:43:00Z</dcterms:modified>
</cp:coreProperties>
</file>